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u w:val="single"/>
          <w:rtl w:val="0"/>
        </w:rPr>
        <w:t xml:space="preserve">Hannah Buchholz- Director of Admissions and Marketing: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Key Points From Talk: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before="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Checklist for Design- there’s purpose behind typography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Figure out your brand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Type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Serif- have feet, more formal, older, serious tone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slab- loud and popular, headline font.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640" w:before="320" w:lineRule="auto"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Easy to read, pops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Sans- don’t have feet, relaxed tone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Sans-serif are easier to read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Be decorative and connect with topic/picture, but not cheesy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Alignment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Left- ragged right, casual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Right- ragged left, casual/crazy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Justified- shaped, formal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Center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Font pairing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Fun, but dangerous (have to know what you’re doing)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Brings in interest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Combines formal and casual feel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Creates contrast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Don’t pair 2 serifs (or 2 sans)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Look for different “weights” when looking for fonts.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Colors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Color schemes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Complementary color- opposite (red and green/sports teams)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Cool Analogous- blues and purples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Warm- red and orange and yellow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Monochromatic- all one color with different shades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Black and white- old and serious, formal but beautiful, high contrast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Neutral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Web- RGB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Print- CMYK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Spot color- 1 hex color, flat color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640" w:before="320" w:lineRule="auto"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Simulated spot color- flat shaped, but has some dimension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Continuous tone- gradient, movement, shading, fun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Identity Mark- logo. Finding ways to set apart your work from others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logo- just letters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letter marks- abbreviations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Symbol- no words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Vectors vs. Pixels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Vectors- big or as little as you want because there are no pixels- logo.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When uploaded to background make sure it's a .png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Use .jpg for pictures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Hierarchy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Let people know what’s most important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People don’t read usually; make headlines standout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640" w:before="320" w:lineRule="auto"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bold or larger than 16pt. with 20 leading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2 categories of sub head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480" w:before="24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Bullet points not blocks of texts- don’t overdo it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Layouts- keep it consistent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Check spelling before print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Reflection: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I learned a lot of new things from this talk. I've always been somewhat interested in design, but I never knew that it could be this specific. Before this talk I never knew the importance of text font or color schemes. I thought it was very interesting that people actually study these things. Now, because of this talk, I have a better eye for layouts and organization of websites and ads. I am able to put these tips from Hannah Buchholz to good use in making my portfolio.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color w:val="333333"/>
        <w:sz w:val="27"/>
        <w:szCs w:val="27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color w:val="333333"/>
        <w:sz w:val="27"/>
        <w:szCs w:val="27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color w:val="333333"/>
        <w:sz w:val="27"/>
        <w:szCs w:val="27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color w:val="333333"/>
        <w:sz w:val="27"/>
        <w:szCs w:val="27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color w:val="333333"/>
        <w:sz w:val="27"/>
        <w:szCs w:val="27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