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333333"/>
          <w:sz w:val="28"/>
          <w:szCs w:val="28"/>
          <w:highlight w:val="white"/>
          <w:u w:val="single"/>
          <w:rtl w:val="0"/>
        </w:rPr>
        <w:t xml:space="preserve">Mr. Budnack- Volunteer Chairman at Parker Task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The Parker Task Force is a nonprofit organization that helps people get back on their feet.</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The average time a volunteer stays with the organization is 6 years, rather than 6 months with other nonprofits. </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The Parker Task Force limits the amount of times people can visit and get food. This is an example of their “Tough Love” and another way to motivate people to get help. </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The Parker Task Force offers help by providing meals and counseling. They also offer support financially by paying bills so the families can keep their houses until they are better off.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The visit to Parker Task Force with Mr. Budnack really opened my eyes. Before this visit, I was ignorant to the number of homeless people in Parker. Mr. Budnack helped me by teaching me that the stereotype for a homeless person is not true. Often times, the parents will drive nice cars and live in nice houses and not even tell their kids that they are getting help from the Parker Task Force. I respect the volunteers at the Parker Task Force because they have a strict confidentiality policy which makes them extremely trustworthy. Also, they look down upon people that show up to volunteer with Starbucks or iPhones in order to respect the feelings and situations of each person that is needing help. I think that it is crazy that these volunteers stay so long, but that just shows what a great organization the Parker Task Force is. This organization offers so much more than an average food bank. It was really cool to see how things worked and how the business operates, we even got to help by packing bags of food.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